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00A" w:rsidRDefault="00D8200A" w:rsidP="00D8200A">
      <w:pPr>
        <w:pStyle w:val="a3"/>
        <w:jc w:val="right"/>
        <w:rPr>
          <w:rFonts w:ascii="Times New Roman" w:hAnsi="Times New Roman"/>
          <w:b/>
          <w:bCs/>
          <w:color w:val="000000"/>
          <w:lang w:eastAsia="bg-BG"/>
        </w:rPr>
      </w:pPr>
      <w:r w:rsidRPr="00D8200A">
        <w:rPr>
          <w:rFonts w:ascii="Times New Roman" w:hAnsi="Times New Roman"/>
          <w:b/>
          <w:bCs/>
          <w:color w:val="000000"/>
          <w:lang w:eastAsia="bg-BG"/>
        </w:rPr>
        <w:t>Приложение № 2.2</w:t>
      </w:r>
    </w:p>
    <w:p w:rsidR="00D8200A" w:rsidRDefault="00D8200A" w:rsidP="00D8200A">
      <w:pPr>
        <w:pStyle w:val="a3"/>
        <w:jc w:val="right"/>
        <w:rPr>
          <w:rFonts w:ascii="Times New Roman" w:hAnsi="Times New Roman"/>
          <w:b/>
          <w:bCs/>
          <w:color w:val="000000"/>
          <w:lang w:eastAsia="bg-BG"/>
        </w:rPr>
      </w:pPr>
    </w:p>
    <w:p w:rsidR="00D8200A" w:rsidRPr="00D8200A" w:rsidRDefault="00D8200A" w:rsidP="00D8200A">
      <w:pPr>
        <w:pStyle w:val="a3"/>
        <w:jc w:val="right"/>
        <w:rPr>
          <w:rFonts w:ascii="Times New Roman" w:hAnsi="Times New Roman"/>
          <w:b/>
          <w:bCs/>
          <w:color w:val="000000"/>
          <w:lang w:eastAsia="bg-BG"/>
        </w:rPr>
      </w:pPr>
      <w:bookmarkStart w:id="0" w:name="_GoBack"/>
      <w:bookmarkEnd w:id="0"/>
    </w:p>
    <w:p w:rsidR="00EB0FF6" w:rsidRDefault="00EB0FF6" w:rsidP="00EB0FF6">
      <w:pPr>
        <w:pStyle w:val="a3"/>
        <w:jc w:val="center"/>
        <w:rPr>
          <w:rFonts w:ascii="Times New Roman" w:hAnsi="Times New Roman"/>
          <w:sz w:val="24"/>
        </w:rPr>
      </w:pPr>
      <w:r w:rsidRPr="00EB0FF6">
        <w:rPr>
          <w:rFonts w:ascii="Times New Roman" w:hAnsi="Times New Roman"/>
          <w:b/>
          <w:bCs/>
          <w:color w:val="000000"/>
          <w:sz w:val="24"/>
          <w:lang w:eastAsia="bg-BG"/>
        </w:rPr>
        <w:t>Критерий за възлагане</w:t>
      </w:r>
      <w:r w:rsidRPr="00EB0FF6">
        <w:rPr>
          <w:rFonts w:ascii="Times New Roman" w:hAnsi="Times New Roman"/>
          <w:b/>
          <w:bCs/>
          <w:color w:val="000000"/>
          <w:sz w:val="24"/>
          <w:lang w:eastAsia="bg-BG"/>
        </w:rPr>
        <w:t xml:space="preserve"> на обособена позиция №</w:t>
      </w:r>
      <w:r>
        <w:rPr>
          <w:rFonts w:ascii="Times New Roman" w:hAnsi="Times New Roman"/>
          <w:b/>
          <w:bCs/>
          <w:color w:val="000000"/>
          <w:sz w:val="24"/>
          <w:lang w:eastAsia="bg-BG"/>
        </w:rPr>
        <w:t xml:space="preserve"> </w:t>
      </w:r>
      <w:r w:rsidRPr="00EB0FF6">
        <w:rPr>
          <w:rFonts w:ascii="Times New Roman" w:hAnsi="Times New Roman"/>
          <w:b/>
          <w:bCs/>
          <w:color w:val="000000"/>
          <w:sz w:val="24"/>
          <w:lang w:eastAsia="bg-BG"/>
        </w:rPr>
        <w:t>2</w:t>
      </w:r>
      <w:r w:rsidRPr="00EB0FF6">
        <w:rPr>
          <w:rFonts w:ascii="Times New Roman" w:hAnsi="Times New Roman"/>
          <w:b/>
          <w:bCs/>
          <w:color w:val="000000"/>
          <w:sz w:val="24"/>
          <w:lang w:eastAsia="bg-BG"/>
        </w:rPr>
        <w:t>:</w:t>
      </w:r>
    </w:p>
    <w:p w:rsidR="00EB0FF6" w:rsidRPr="00EB0FF6" w:rsidRDefault="00EB0FF6" w:rsidP="00EB0FF6">
      <w:pPr>
        <w:pStyle w:val="a3"/>
        <w:jc w:val="center"/>
        <w:rPr>
          <w:rFonts w:ascii="Times New Roman" w:hAnsi="Times New Roman"/>
          <w:sz w:val="24"/>
        </w:rPr>
      </w:pPr>
      <w:r w:rsidRPr="00EB0FF6">
        <w:rPr>
          <w:rFonts w:ascii="Times New Roman" w:hAnsi="Times New Roman"/>
          <w:sz w:val="24"/>
          <w:lang w:eastAsia="bg-BG"/>
        </w:rPr>
        <w:t>Оптимално съотноше</w:t>
      </w:r>
      <w:r>
        <w:rPr>
          <w:rFonts w:ascii="Times New Roman" w:hAnsi="Times New Roman"/>
          <w:sz w:val="24"/>
          <w:lang w:eastAsia="bg-BG"/>
        </w:rPr>
        <w:t xml:space="preserve">ние качество/цена въз основа на </w:t>
      </w:r>
      <w:r w:rsidRPr="00EB0FF6">
        <w:rPr>
          <w:rFonts w:ascii="Times New Roman" w:hAnsi="Times New Roman"/>
          <w:sz w:val="24"/>
          <w:lang w:eastAsia="bg-BG"/>
        </w:rPr>
        <w:t>Цена и качествени показатели</w:t>
      </w:r>
    </w:p>
    <w:p w:rsidR="00EB0FF6" w:rsidRDefault="00EB0FF6" w:rsidP="00EB0FF6">
      <w:pPr>
        <w:spacing w:after="0" w:line="240" w:lineRule="auto"/>
        <w:jc w:val="center"/>
        <w:rPr>
          <w:rFonts w:ascii="Times New Roman" w:hAnsi="Times New Roman"/>
          <w:b/>
          <w:bCs/>
          <w:smallCaps/>
          <w:sz w:val="28"/>
          <w:szCs w:val="28"/>
          <w:u w:val="single"/>
          <w:lang w:eastAsia="bg-BG"/>
        </w:rPr>
      </w:pPr>
    </w:p>
    <w:p w:rsidR="00EB0FF6" w:rsidRDefault="00EB0FF6" w:rsidP="00EB0FF6">
      <w:pPr>
        <w:spacing w:after="0" w:line="240" w:lineRule="auto"/>
        <w:jc w:val="center"/>
        <w:rPr>
          <w:rFonts w:ascii="Times New Roman" w:hAnsi="Times New Roman"/>
          <w:b/>
          <w:bCs/>
          <w:smallCaps/>
          <w:sz w:val="28"/>
          <w:szCs w:val="28"/>
          <w:u w:val="single"/>
          <w:lang w:eastAsia="bg-BG"/>
        </w:rPr>
      </w:pPr>
      <w:r>
        <w:rPr>
          <w:rFonts w:ascii="Times New Roman" w:hAnsi="Times New Roman"/>
          <w:b/>
          <w:bCs/>
          <w:smallCaps/>
          <w:sz w:val="28"/>
          <w:szCs w:val="28"/>
          <w:u w:val="single"/>
          <w:lang w:eastAsia="bg-BG"/>
        </w:rPr>
        <w:t>методика за оценка</w:t>
      </w:r>
    </w:p>
    <w:p w:rsidR="00EB0FF6" w:rsidRDefault="00EB0FF6" w:rsidP="00EB0FF6">
      <w:pPr>
        <w:spacing w:after="0" w:line="240" w:lineRule="auto"/>
        <w:ind w:left="720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EB0FF6" w:rsidRDefault="00EB0FF6" w:rsidP="00EB0FF6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Обществената поръчка се възлага въз основа на икономически най-изгодната оферта с критерий за възлагане „</w:t>
      </w:r>
      <w:r>
        <w:rPr>
          <w:rFonts w:ascii="Times New Roman" w:eastAsia="Times New Roman" w:hAnsi="Times New Roman"/>
          <w:b/>
          <w:sz w:val="24"/>
          <w:szCs w:val="24"/>
        </w:rPr>
        <w:t>оптимално съотношение цена/качество“.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Критерият „оптимално съотношение качество/цена” включва следните показатели и тежести в комплексната оценка на офертите: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Показател „Предложен срок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изготвяне и предаване на работния проект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“ (С).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Показател „Оценка на ценовото предложение на участника“- Предлагана цена (Ц).   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Комплексна оценка (КО) се формира като сбор от „Предложен срок за изготвяне и предаване на работния проект“ (С) и Оценка на ценовото предложение на участника (Ц):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Комплексна оценка КО = </w:t>
      </w:r>
      <w:r>
        <w:rPr>
          <w:rFonts w:ascii="Times New Roman" w:hAnsi="Times New Roman"/>
          <w:b/>
          <w:sz w:val="24"/>
        </w:rPr>
        <w:t xml:space="preserve">Ц х </w:t>
      </w:r>
      <w:r w:rsidR="002B6BAA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0 % + С х </w:t>
      </w:r>
      <w:r w:rsidR="002B6BAA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>0 %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Комплексната оценка се измерва в брой точки. Максималният брой точки, които може да получи участник е 100 т. 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На първо място се класира участникът, събрал най-много точки.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ПОКАЗАТЕЛ „ПРЕДЛОЖЕН СРОК </w:t>
      </w:r>
      <w:r w:rsidRPr="00EB0FF6">
        <w:rPr>
          <w:rFonts w:ascii="Times New Roman" w:eastAsia="Times New Roman" w:hAnsi="Times New Roman"/>
          <w:sz w:val="24"/>
          <w:szCs w:val="24"/>
          <w:lang w:eastAsia="bg-BG"/>
        </w:rPr>
        <w:t>ЗА ИЗГОТВЯНЕ И ПРЕДАВАНЕ НА РАБОТН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ЕН</w:t>
      </w:r>
      <w:r w:rsidRPr="00EB0FF6">
        <w:rPr>
          <w:rFonts w:ascii="Times New Roman" w:eastAsia="Times New Roman" w:hAnsi="Times New Roman"/>
          <w:sz w:val="24"/>
          <w:szCs w:val="24"/>
          <w:lang w:eastAsia="bg-BG"/>
        </w:rPr>
        <w:t xml:space="preserve"> ПРОЕКТ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” (С) 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EB0FF6" w:rsidRDefault="00EB0FF6" w:rsidP="00EB0F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 xml:space="preserve">С – Срок за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 xml:space="preserve">изготвяне и предаване на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>работнен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 xml:space="preserve"> проект /в работни дни/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>, но не по-късно от 27.09.2019 г.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максимален брой точки получава участника, който предложи най-кратък срок за изпълнение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работен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проект. Най-доброто предложение получава 100 т., а всяко следващо се определя по следната формула: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Точките на останалите участници се определят в съотношение към най - краткия предложен срок по следната формула: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Сmin</w:t>
      </w:r>
      <w:proofErr w:type="spellEnd"/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С  =     -------- х 100, 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Сn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Сn–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срокът, предложен от съответния участник;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Сmin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предложеният най- кратък срок.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right="18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ПО ПОКАЗАТЕЛ ОЦЕНКА НА ЦЕНОВОТО ПРЕДЛОЖЕНИЕ НА УЧАСТНИКА „ПРЕДЛАГАНА ЦЕНА” (Ц) :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Максималният брой точки, който може да получи всеки участник е 100.  Максималният брой точки /100 точки/ по този показател получава офертата с предлагана най - ниска цена /в лева без ДДС/. Точките на останалите участници се определят в съотношение към най- ниската предложена цена /в лева без ДДС/ по следната формула: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Цmin</w:t>
      </w:r>
      <w:proofErr w:type="spellEnd"/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           Ц =    -------- х 100, където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Цn</w:t>
      </w:r>
      <w:proofErr w:type="spellEnd"/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Цn–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цената, предложена от съответния участник;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Цmin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- предложената минимална цена.</w:t>
      </w:r>
    </w:p>
    <w:p w:rsidR="00EB0FF6" w:rsidRDefault="00EB0FF6" w:rsidP="00EB0FF6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spacing w:after="0" w:line="240" w:lineRule="auto"/>
        <w:ind w:left="-36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Към оценка на ценовите предложения се пристъпва след като се извърши проверка и се установи, че са подготвени и представени в съответствие с изискванията на документацията за участие в процедурата.</w:t>
      </w:r>
    </w:p>
    <w:p w:rsidR="00EB0FF6" w:rsidRDefault="00EB0FF6" w:rsidP="00EB0FF6">
      <w:pPr>
        <w:spacing w:after="0" w:line="240" w:lineRule="auto"/>
        <w:ind w:left="-36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  <w:t>Забележка:</w:t>
      </w:r>
      <w:r>
        <w:rPr>
          <w:rFonts w:ascii="Times New Roman" w:hAnsi="Times New Roman"/>
          <w:i/>
          <w:iCs/>
          <w:sz w:val="24"/>
          <w:szCs w:val="24"/>
          <w:lang w:eastAsia="bg-BG"/>
        </w:rPr>
        <w:t xml:space="preserve"> При извършване на оценяването по съответните показатели и </w:t>
      </w:r>
      <w:proofErr w:type="spellStart"/>
      <w:r>
        <w:rPr>
          <w:rFonts w:ascii="Times New Roman" w:hAnsi="Times New Roman"/>
          <w:i/>
          <w:iCs/>
          <w:sz w:val="24"/>
          <w:szCs w:val="24"/>
          <w:lang w:eastAsia="bg-BG"/>
        </w:rPr>
        <w:t>подпоказатели</w:t>
      </w:r>
      <w:proofErr w:type="spellEnd"/>
      <w:r>
        <w:rPr>
          <w:rFonts w:ascii="Times New Roman" w:hAnsi="Times New Roman"/>
          <w:i/>
          <w:iCs/>
          <w:sz w:val="24"/>
          <w:szCs w:val="24"/>
          <w:lang w:eastAsia="bg-BG"/>
        </w:rPr>
        <w:t xml:space="preserve"> ще се използва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  <w:t>закръгляне до втория знак след десетичната запетая (в приложимите случаи).</w:t>
      </w:r>
    </w:p>
    <w:p w:rsidR="00EB0FF6" w:rsidRDefault="00EB0FF6" w:rsidP="00EB0F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B0FF6" w:rsidRDefault="00EB0FF6" w:rsidP="00EB0F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       </w:t>
      </w:r>
      <w:r>
        <w:rPr>
          <w:rFonts w:ascii="Times New Roman" w:hAnsi="Times New Roman"/>
          <w:sz w:val="24"/>
          <w:szCs w:val="24"/>
          <w:lang w:val="en-US"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>Когато комплексните оценки на две или повече оферти са равни, с предимство се класира офертата, в която се съдържат по – изгодни предложения, преценени в реда посочен чл. 58, ал. 2, т. 1 и т. 3 от ППЗОП.</w:t>
      </w:r>
    </w:p>
    <w:p w:rsidR="00EB0FF6" w:rsidRDefault="00EB0FF6" w:rsidP="00EB0F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CA06E4" w:rsidRDefault="00EB0FF6" w:rsidP="00EB0FF6">
      <w:r>
        <w:rPr>
          <w:rFonts w:ascii="Times New Roman" w:eastAsia="Times New Roman" w:hAnsi="Times New Roman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Комисията провежда публично жребий за определяне на изпълнител между класираните на първо място оферти, ако участниците не могат да бъдат класирани в съответствие с реда по </w:t>
      </w:r>
      <w:r>
        <w:rPr>
          <w:rFonts w:ascii="Times New Roman" w:hAnsi="Times New Roman"/>
          <w:sz w:val="24"/>
          <w:szCs w:val="24"/>
          <w:lang w:eastAsia="bg-BG"/>
        </w:rPr>
        <w:t>чл. 58, ал. 2, т. 1 и т. 3 от ППЗОП</w:t>
      </w:r>
    </w:p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8E"/>
    <w:rsid w:val="00056916"/>
    <w:rsid w:val="00226B20"/>
    <w:rsid w:val="002B6BAA"/>
    <w:rsid w:val="00A3778E"/>
    <w:rsid w:val="00D8200A"/>
    <w:rsid w:val="00EB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F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0FF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F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0F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9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5</cp:revision>
  <dcterms:created xsi:type="dcterms:W3CDTF">2019-08-01T11:04:00Z</dcterms:created>
  <dcterms:modified xsi:type="dcterms:W3CDTF">2019-08-02T12:19:00Z</dcterms:modified>
</cp:coreProperties>
</file>